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13" w:rsidRDefault="00695013" w:rsidP="00695013">
      <w:pPr>
        <w:autoSpaceDE w:val="0"/>
        <w:autoSpaceDN w:val="0"/>
        <w:adjustRightInd w:val="0"/>
        <w:jc w:val="center"/>
        <w:rPr>
          <w:rFonts w:ascii="Helvetica" w:hAnsi="Helvetica" w:cs="Helvetica"/>
          <w:b/>
          <w:sz w:val="28"/>
          <w:szCs w:val="28"/>
          <w:u w:val="single"/>
        </w:rPr>
      </w:pPr>
      <w:r>
        <w:rPr>
          <w:rFonts w:ascii="Helvetica" w:hAnsi="Helvetica" w:cs="Helvetica"/>
          <w:b/>
          <w:sz w:val="28"/>
          <w:szCs w:val="28"/>
          <w:u w:val="single"/>
        </w:rPr>
        <w:t>Unit 2 (Biochemistry) Calculations Practice and Review</w:t>
      </w:r>
    </w:p>
    <w:p w:rsidR="00695013" w:rsidRPr="00695013" w:rsidRDefault="00695013" w:rsidP="00695013">
      <w:pPr>
        <w:autoSpaceDE w:val="0"/>
        <w:autoSpaceDN w:val="0"/>
        <w:adjustRightInd w:val="0"/>
        <w:jc w:val="center"/>
        <w:rPr>
          <w:rFonts w:ascii="Helvetica" w:hAnsi="Helvetica" w:cs="Helvetica"/>
          <w:b/>
          <w:sz w:val="28"/>
          <w:szCs w:val="28"/>
          <w:u w:val="single"/>
        </w:rPr>
      </w:pPr>
    </w:p>
    <w:p w:rsidR="00695013" w:rsidRDefault="00695013" w:rsidP="00695013">
      <w:pPr>
        <w:autoSpaceDE w:val="0"/>
        <w:autoSpaceDN w:val="0"/>
        <w:adjustRightInd w:val="0"/>
        <w:jc w:val="center"/>
        <w:rPr>
          <w:rFonts w:ascii="Helvetica" w:hAnsi="Helvetica" w:cs="Helvetica"/>
          <w:b/>
          <w:u w:val="single"/>
        </w:rPr>
      </w:pPr>
      <w:r w:rsidRPr="00695013">
        <w:rPr>
          <w:rFonts w:ascii="Helvetica" w:hAnsi="Helvetica" w:cs="Helvetica"/>
          <w:b/>
          <w:u w:val="single"/>
        </w:rPr>
        <w:t>Part A: Q10 Metabolism Calculations</w:t>
      </w:r>
    </w:p>
    <w:p w:rsidR="00695013" w:rsidRP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  <w:b/>
          <w:u w:val="single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The rate of metabolism of a certain animal at 10</w:t>
      </w:r>
      <w:r w:rsidRPr="00BF0E83">
        <w:rPr>
          <w:rFonts w:ascii="Helvetica" w:hAnsi="Helvetica" w:cs="Helvetica"/>
          <w:sz w:val="20"/>
          <w:szCs w:val="20"/>
          <w:vertAlign w:val="superscript"/>
        </w:rPr>
        <w:t>º</w:t>
      </w:r>
      <w:r>
        <w:rPr>
          <w:rFonts w:ascii="Helvetica" w:hAnsi="Helvetica" w:cs="Helvetica"/>
        </w:rPr>
        <w:t xml:space="preserve">C, </w:t>
      </w:r>
      <w:proofErr w:type="gramStart"/>
      <w:r>
        <w:rPr>
          <w:rFonts w:ascii="Helvetica" w:hAnsi="Helvetica" w:cs="Helvetica"/>
        </w:rPr>
        <w:t>is  27</w:t>
      </w:r>
      <w:proofErr w:type="gramEnd"/>
      <w:r>
        <w:rPr>
          <w:rFonts w:ascii="Helvetica" w:hAnsi="Helvetica" w:cs="Helvetica"/>
        </w:rPr>
        <w:t xml:space="preserve"> </w:t>
      </w:r>
      <w:r>
        <w:rPr>
          <w:rFonts w:ascii="Symbol" w:hAnsi="Symbol" w:cs="Symbol"/>
        </w:rPr>
        <w:t></w:t>
      </w:r>
      <w:r>
        <w:rPr>
          <w:rFonts w:ascii="Helvetica" w:hAnsi="Helvetica" w:cs="Helvetica"/>
        </w:rPr>
        <w:t>lO</w:t>
      </w:r>
      <w:r w:rsidRPr="00BF0E83">
        <w:rPr>
          <w:rFonts w:ascii="Helvetica" w:hAnsi="Helvetica" w:cs="Helvetica"/>
          <w:sz w:val="20"/>
          <w:szCs w:val="20"/>
          <w:vertAlign w:val="subscript"/>
        </w:rPr>
        <w:t>2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</w:rPr>
        <w:t>g</w:t>
      </w:r>
      <w:r w:rsidRPr="00BF0E83">
        <w:rPr>
          <w:rFonts w:ascii="Helvetica" w:hAnsi="Helvetica" w:cs="Helvetica"/>
          <w:sz w:val="20"/>
          <w:szCs w:val="20"/>
          <w:vertAlign w:val="superscript"/>
        </w:rPr>
        <w:t>-1</w:t>
      </w:r>
      <w:r>
        <w:rPr>
          <w:rFonts w:ascii="Helvetica" w:hAnsi="Helvetica" w:cs="Helvetica"/>
        </w:rPr>
        <w:t>h</w:t>
      </w:r>
      <w:r w:rsidRPr="00BF0E83">
        <w:rPr>
          <w:rFonts w:ascii="Helvetica" w:hAnsi="Helvetica" w:cs="Helvetica"/>
          <w:sz w:val="20"/>
          <w:szCs w:val="20"/>
          <w:vertAlign w:val="superscript"/>
        </w:rPr>
        <w:t>-1</w:t>
      </w:r>
      <w:r>
        <w:rPr>
          <w:rFonts w:ascii="Helvetica" w:hAnsi="Helvetica" w:cs="Helvetica"/>
        </w:rPr>
        <w:t>.</w:t>
      </w:r>
    </w:p>
    <w:p w:rsidR="00695013" w:rsidRPr="0048685F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What are its rates of metabolism at 20, 30, and 40</w:t>
      </w:r>
      <w:r w:rsidRPr="00BF0E83">
        <w:rPr>
          <w:rFonts w:ascii="Helvetica" w:hAnsi="Helvetica" w:cs="Helvetica"/>
          <w:sz w:val="20"/>
          <w:szCs w:val="20"/>
          <w:vertAlign w:val="superscript"/>
        </w:rPr>
        <w:t xml:space="preserve"> º</w:t>
      </w:r>
      <w:r>
        <w:rPr>
          <w:rFonts w:ascii="Helvetica" w:hAnsi="Helvetica" w:cs="Helvetica"/>
        </w:rPr>
        <w:t>C if the Q</w:t>
      </w:r>
      <w:r>
        <w:rPr>
          <w:rFonts w:ascii="Helvetica" w:hAnsi="Helvetica" w:cs="Helvetica"/>
          <w:sz w:val="20"/>
          <w:szCs w:val="20"/>
        </w:rPr>
        <w:t xml:space="preserve">10 </w:t>
      </w:r>
      <w:r>
        <w:rPr>
          <w:rFonts w:ascii="Helvetica" w:hAnsi="Helvetica" w:cs="Helvetica"/>
        </w:rPr>
        <w:t xml:space="preserve">is 2? </w:t>
      </w:r>
      <w:proofErr w:type="gramStart"/>
      <w:r>
        <w:rPr>
          <w:rFonts w:ascii="Helvetica" w:hAnsi="Helvetica" w:cs="Helvetica"/>
        </w:rPr>
        <w:t>If it is 2.5?</w:t>
      </w:r>
      <w:proofErr w:type="gramEnd"/>
    </w:p>
    <w:p w:rsidR="00695013" w:rsidRPr="00BF0E83" w:rsidRDefault="00695013" w:rsidP="00695013">
      <w:pPr>
        <w:autoSpaceDE w:val="0"/>
        <w:autoSpaceDN w:val="0"/>
        <w:adjustRightInd w:val="0"/>
        <w:rPr>
          <w:rFonts w:ascii="Times-Italic" w:hAnsi="Times-Italic" w:cs="Times-Italic"/>
          <w:b/>
          <w:i/>
          <w:iCs/>
          <w:sz w:val="41"/>
          <w:szCs w:val="41"/>
          <w:vertAlign w:val="subscript"/>
        </w:rPr>
      </w:pPr>
      <w:r>
        <w:rPr>
          <w:rFonts w:ascii="Times-Italic" w:hAnsi="Times-Italic" w:cs="Times-Italic"/>
          <w:i/>
          <w:iCs/>
          <w:sz w:val="41"/>
          <w:szCs w:val="41"/>
        </w:rPr>
        <w:tab/>
      </w:r>
      <w:r>
        <w:rPr>
          <w:rFonts w:ascii="Times-Italic" w:hAnsi="Times-Italic" w:cs="Times-Italic"/>
          <w:i/>
          <w:iCs/>
          <w:sz w:val="41"/>
          <w:szCs w:val="41"/>
        </w:rPr>
        <w:tab/>
      </w:r>
      <w:r>
        <w:rPr>
          <w:rFonts w:ascii="Times-Italic" w:hAnsi="Times-Italic" w:cs="Times-Italic"/>
          <w:i/>
          <w:iCs/>
          <w:sz w:val="41"/>
          <w:szCs w:val="41"/>
        </w:rPr>
        <w:tab/>
      </w:r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((</w:t>
      </w:r>
      <w:r w:rsidRPr="00BF0E83">
        <w:rPr>
          <w:rFonts w:ascii="Times-Italic" w:hAnsi="Times-Italic" w:cs="Times-Italic"/>
          <w:b/>
          <w:i/>
          <w:iCs/>
          <w:sz w:val="32"/>
          <w:szCs w:val="32"/>
          <w:vertAlign w:val="subscript"/>
        </w:rPr>
        <w:t>T</w:t>
      </w:r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2</w:t>
      </w:r>
      <w:r w:rsidRPr="00BF0E83">
        <w:rPr>
          <w:rFonts w:ascii="Symbol" w:hAnsi="Symbol" w:cs="Symbol"/>
          <w:b/>
          <w:sz w:val="32"/>
          <w:szCs w:val="32"/>
          <w:vertAlign w:val="subscript"/>
        </w:rPr>
        <w:t></w:t>
      </w:r>
      <w:r w:rsidRPr="00BF0E83">
        <w:rPr>
          <w:rFonts w:ascii="Times-Italic" w:hAnsi="Times-Italic" w:cs="Times-Italic"/>
          <w:b/>
          <w:i/>
          <w:iCs/>
          <w:sz w:val="32"/>
          <w:szCs w:val="32"/>
          <w:vertAlign w:val="subscript"/>
        </w:rPr>
        <w:t>T</w:t>
      </w:r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1)</w:t>
      </w:r>
      <w:r>
        <w:rPr>
          <w:rFonts w:ascii="Times-Roman" w:hAnsi="Times-Roman" w:cs="Times-Roman"/>
          <w:b/>
          <w:sz w:val="32"/>
          <w:szCs w:val="32"/>
          <w:vertAlign w:val="subscript"/>
        </w:rPr>
        <w:t>/10</w:t>
      </w:r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)</w:t>
      </w:r>
      <w:r>
        <w:rPr>
          <w:rFonts w:ascii="Times-Roman" w:hAnsi="Times-Roman" w:cs="Times-Roman"/>
          <w:b/>
          <w:sz w:val="32"/>
          <w:szCs w:val="32"/>
          <w:vertAlign w:val="subscript"/>
        </w:rPr>
        <w:t>)</w:t>
      </w:r>
    </w:p>
    <w:p w:rsidR="00695013" w:rsidRPr="0048685F" w:rsidRDefault="00695013" w:rsidP="00695013">
      <w:pPr>
        <w:autoSpaceDE w:val="0"/>
        <w:autoSpaceDN w:val="0"/>
        <w:adjustRightInd w:val="0"/>
        <w:rPr>
          <w:rFonts w:ascii="Times-Roman" w:hAnsi="Times-Roman" w:cs="Times-Roman"/>
          <w:sz w:val="41"/>
          <w:szCs w:val="41"/>
        </w:rPr>
      </w:pPr>
      <w:r>
        <w:rPr>
          <w:rFonts w:ascii="Times-Italic" w:hAnsi="Times-Italic" w:cs="Times-Italic"/>
          <w:i/>
          <w:iCs/>
          <w:sz w:val="41"/>
          <w:szCs w:val="41"/>
        </w:rPr>
        <w:t>R</w:t>
      </w:r>
      <w:r>
        <w:rPr>
          <w:rFonts w:ascii="Times-Roman" w:hAnsi="Times-Roman" w:cs="Times-Roman"/>
        </w:rPr>
        <w:t xml:space="preserve">2 </w:t>
      </w:r>
      <w:r>
        <w:rPr>
          <w:rFonts w:ascii="Symbol" w:hAnsi="Symbol" w:cs="Symbol"/>
          <w:sz w:val="41"/>
          <w:szCs w:val="41"/>
        </w:rPr>
        <w:t></w:t>
      </w:r>
      <w:r>
        <w:rPr>
          <w:rFonts w:ascii="Times-Italic" w:hAnsi="Times-Italic" w:cs="Times-Italic"/>
          <w:i/>
          <w:iCs/>
          <w:sz w:val="41"/>
          <w:szCs w:val="41"/>
        </w:rPr>
        <w:t>R</w:t>
      </w:r>
      <w:r>
        <w:rPr>
          <w:rFonts w:ascii="Times-Roman" w:hAnsi="Times-Roman" w:cs="Times-Roman"/>
        </w:rPr>
        <w:t>1</w:t>
      </w:r>
      <w:r>
        <w:rPr>
          <w:rFonts w:ascii="Times-Roman" w:hAnsi="Times-Roman" w:cs="Times-Roman"/>
          <w:sz w:val="41"/>
          <w:szCs w:val="41"/>
        </w:rPr>
        <w:t xml:space="preserve"> x </w:t>
      </w:r>
      <w:r>
        <w:rPr>
          <w:rFonts w:ascii="Times-Italic" w:hAnsi="Times-Italic" w:cs="Times-Italic"/>
          <w:i/>
          <w:iCs/>
          <w:sz w:val="41"/>
          <w:szCs w:val="41"/>
        </w:rPr>
        <w:t>Q</w:t>
      </w:r>
      <w:r>
        <w:rPr>
          <w:rFonts w:ascii="Times-Roman" w:hAnsi="Times-Roman" w:cs="Times-Roman"/>
        </w:rPr>
        <w:t>10</w:t>
      </w: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</w:p>
    <w:tbl>
      <w:tblPr>
        <w:tblW w:w="1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3"/>
        <w:gridCol w:w="5553"/>
      </w:tblGrid>
      <w:tr w:rsidR="00695013" w:rsidRPr="00B950BA" w:rsidTr="00CD25CD">
        <w:trPr>
          <w:trHeight w:val="277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u w:val="single"/>
              </w:rPr>
            </w:pPr>
            <w:r w:rsidRPr="00B950BA">
              <w:rPr>
                <w:rFonts w:ascii="Helvetica" w:hAnsi="Helvetica" w:cs="Helvetica"/>
                <w:b/>
                <w:u w:val="single"/>
              </w:rPr>
              <w:t xml:space="preserve">Temperature </w:t>
            </w:r>
            <w:r w:rsidRPr="00B950BA">
              <w:rPr>
                <w:rFonts w:ascii="Helvetica" w:hAnsi="Helvetica" w:cs="Helvetica"/>
                <w:sz w:val="20"/>
                <w:szCs w:val="20"/>
                <w:vertAlign w:val="superscript"/>
              </w:rPr>
              <w:t>º</w:t>
            </w:r>
            <w:r w:rsidRPr="00B950BA">
              <w:rPr>
                <w:rFonts w:ascii="Helvetica" w:hAnsi="Helvetica" w:cs="Helvetica"/>
              </w:rPr>
              <w:t>C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u w:val="single"/>
              </w:rPr>
            </w:pPr>
            <w:r w:rsidRPr="00B950BA">
              <w:rPr>
                <w:rFonts w:ascii="Helvetica" w:hAnsi="Helvetica" w:cs="Helvetica"/>
                <w:b/>
                <w:u w:val="single"/>
              </w:rPr>
              <w:t>Rate2  if Q10 = 2</w:t>
            </w:r>
          </w:p>
        </w:tc>
      </w:tr>
      <w:tr w:rsidR="00695013" w:rsidRPr="00B950BA" w:rsidTr="00CD25CD">
        <w:trPr>
          <w:trHeight w:val="277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 xml:space="preserve">20 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  <w:tr w:rsidR="00695013" w:rsidRPr="00B950BA" w:rsidTr="00CD25CD">
        <w:trPr>
          <w:trHeight w:val="277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30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  <w:tr w:rsidR="00695013" w:rsidRPr="00B950BA" w:rsidTr="00CD25CD">
        <w:trPr>
          <w:trHeight w:val="292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40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</w:tbl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</w:p>
    <w:tbl>
      <w:tblPr>
        <w:tblW w:w="1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3"/>
        <w:gridCol w:w="5553"/>
      </w:tblGrid>
      <w:tr w:rsidR="00695013" w:rsidRPr="00B950BA" w:rsidTr="00CD25CD">
        <w:trPr>
          <w:trHeight w:val="277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u w:val="single"/>
              </w:rPr>
            </w:pPr>
            <w:r w:rsidRPr="00B950BA">
              <w:rPr>
                <w:rFonts w:ascii="Helvetica" w:hAnsi="Helvetica" w:cs="Helvetica"/>
                <w:b/>
                <w:u w:val="single"/>
              </w:rPr>
              <w:t xml:space="preserve">Temperature </w:t>
            </w:r>
            <w:r w:rsidRPr="00B950BA">
              <w:rPr>
                <w:rFonts w:ascii="Helvetica" w:hAnsi="Helvetica" w:cs="Helvetica"/>
                <w:sz w:val="20"/>
                <w:szCs w:val="20"/>
                <w:vertAlign w:val="superscript"/>
              </w:rPr>
              <w:t>º</w:t>
            </w:r>
            <w:r w:rsidRPr="00B950BA">
              <w:rPr>
                <w:rFonts w:ascii="Helvetica" w:hAnsi="Helvetica" w:cs="Helvetica"/>
              </w:rPr>
              <w:t>C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u w:val="single"/>
              </w:rPr>
            </w:pPr>
            <w:r w:rsidRPr="00B950BA">
              <w:rPr>
                <w:rFonts w:ascii="Helvetica" w:hAnsi="Helvetica" w:cs="Helvetica"/>
                <w:b/>
                <w:u w:val="single"/>
              </w:rPr>
              <w:t>Rate2 if Q10 = 2.5</w:t>
            </w:r>
          </w:p>
        </w:tc>
      </w:tr>
      <w:tr w:rsidR="00695013" w:rsidRPr="00B950BA" w:rsidTr="00CD25CD">
        <w:trPr>
          <w:trHeight w:val="277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 xml:space="preserve">20 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  <w:tr w:rsidR="00695013" w:rsidRPr="00B950BA" w:rsidTr="00CD25CD">
        <w:trPr>
          <w:trHeight w:val="277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30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  <w:tr w:rsidR="00695013" w:rsidRPr="00B950BA" w:rsidTr="00CD25CD">
        <w:trPr>
          <w:trHeight w:val="292"/>
        </w:trPr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40</w:t>
            </w:r>
          </w:p>
        </w:tc>
        <w:tc>
          <w:tcPr>
            <w:tcW w:w="5553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</w:tbl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Geneva" w:hAnsi="Geneva" w:cs="Geneva"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6.1pt;margin-top:7.25pt;width:165.2pt;height:129.55pt;z-index:-251656192;mso-position-horizontal-relative:text;mso-position-vertical-relative:text" filled="t">
            <v:imagedata r:id="rId4" o:title="" cropbottom="17203f" cropright="29123f"/>
            <o:lock v:ext="edit" aspectratio="f"/>
          </v:shape>
          <o:OLEObject Type="Embed" ProgID="StaticMetafile" ShapeID="_x0000_s1026" DrawAspect="Content" ObjectID="_1443704245" r:id="rId5"/>
        </w:pict>
      </w: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Graph showing the effect of Temp on Rx rate</w:t>
      </w: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Geneva" w:hAnsi="Geneva" w:cs="Geneva"/>
          <w:sz w:val="16"/>
          <w:szCs w:val="16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 The following table reports the rates of metabolism of a species at a series of ambient temperatures: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695013" w:rsidRPr="00B950BA" w:rsidTr="00CD25CD"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Temperature (</w:t>
            </w:r>
            <w:r w:rsidRPr="00B950BA">
              <w:rPr>
                <w:rFonts w:ascii="Helvetica" w:hAnsi="Helvetica" w:cs="Helvetica"/>
                <w:sz w:val="20"/>
                <w:szCs w:val="20"/>
                <w:vertAlign w:val="superscript"/>
              </w:rPr>
              <w:t>º</w:t>
            </w:r>
            <w:r w:rsidRPr="00B950BA">
              <w:rPr>
                <w:rFonts w:ascii="Helvetica" w:hAnsi="Helvetica" w:cs="Helvetica"/>
              </w:rPr>
              <w:t>C)</w:t>
            </w:r>
          </w:p>
        </w:tc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Rate of Metabolism (</w:t>
            </w:r>
            <w:r w:rsidRPr="00B950BA">
              <w:rPr>
                <w:rFonts w:ascii="Symbol" w:hAnsi="Symbol" w:cs="Symbol"/>
              </w:rPr>
              <w:t></w:t>
            </w:r>
            <w:r w:rsidRPr="00B950BA">
              <w:rPr>
                <w:rFonts w:ascii="Helvetica" w:hAnsi="Helvetica" w:cs="Helvetica"/>
              </w:rPr>
              <w:t>lO</w:t>
            </w:r>
            <w:r w:rsidRPr="00B950BA">
              <w:rPr>
                <w:rFonts w:ascii="Helvetica" w:hAnsi="Helvetica" w:cs="Helvetica"/>
                <w:sz w:val="20"/>
                <w:szCs w:val="20"/>
                <w:vertAlign w:val="subscript"/>
              </w:rPr>
              <w:t>2</w:t>
            </w:r>
            <w:r w:rsidRPr="00B950BA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B950BA">
              <w:rPr>
                <w:rFonts w:ascii="Helvetica" w:hAnsi="Helvetica" w:cs="Helvetica"/>
              </w:rPr>
              <w:t>g</w:t>
            </w:r>
            <w:r w:rsidRPr="00B950BA">
              <w:rPr>
                <w:rFonts w:ascii="Helvetica" w:hAnsi="Helvetica" w:cs="Helvetica"/>
                <w:sz w:val="20"/>
                <w:szCs w:val="20"/>
                <w:vertAlign w:val="superscript"/>
              </w:rPr>
              <w:t>-1</w:t>
            </w:r>
            <w:r w:rsidRPr="00B950BA">
              <w:rPr>
                <w:rFonts w:ascii="Helvetica" w:hAnsi="Helvetica" w:cs="Helvetica"/>
              </w:rPr>
              <w:t>h</w:t>
            </w:r>
            <w:r w:rsidRPr="00B950BA">
              <w:rPr>
                <w:rFonts w:ascii="Helvetica" w:hAnsi="Helvetica" w:cs="Helvetica"/>
                <w:sz w:val="20"/>
                <w:szCs w:val="20"/>
                <w:vertAlign w:val="superscript"/>
              </w:rPr>
              <w:t>-1</w:t>
            </w:r>
            <w:r w:rsidRPr="00B950BA">
              <w:rPr>
                <w:rFonts w:ascii="Helvetica" w:hAnsi="Helvetica" w:cs="Helvetica"/>
              </w:rPr>
              <w:t>.)</w:t>
            </w:r>
          </w:p>
        </w:tc>
      </w:tr>
      <w:tr w:rsidR="00695013" w:rsidRPr="00B950BA" w:rsidTr="00CD25CD"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15</w:t>
            </w:r>
          </w:p>
        </w:tc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10</w:t>
            </w:r>
          </w:p>
        </w:tc>
      </w:tr>
      <w:tr w:rsidR="00695013" w:rsidRPr="00B950BA" w:rsidTr="00CD25CD"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20</w:t>
            </w:r>
          </w:p>
        </w:tc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13.42</w:t>
            </w:r>
          </w:p>
        </w:tc>
      </w:tr>
      <w:tr w:rsidR="00695013" w:rsidRPr="00B950BA" w:rsidTr="00CD25CD"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30</w:t>
            </w:r>
          </w:p>
        </w:tc>
        <w:tc>
          <w:tcPr>
            <w:tcW w:w="4428" w:type="dxa"/>
          </w:tcPr>
          <w:p w:rsidR="00695013" w:rsidRPr="00B950BA" w:rsidRDefault="00695013" w:rsidP="00CD25C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B950BA">
              <w:rPr>
                <w:rFonts w:ascii="Helvetica" w:hAnsi="Helvetica" w:cs="Helvetica"/>
              </w:rPr>
              <w:t>21.22</w:t>
            </w:r>
          </w:p>
        </w:tc>
      </w:tr>
    </w:tbl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(a) Calculate the Q</w:t>
      </w:r>
      <w:r>
        <w:rPr>
          <w:rFonts w:ascii="Helvetica" w:hAnsi="Helvetica" w:cs="Helvetica"/>
          <w:sz w:val="20"/>
          <w:szCs w:val="20"/>
        </w:rPr>
        <w:t xml:space="preserve">10 </w:t>
      </w:r>
      <w:r>
        <w:rPr>
          <w:rFonts w:ascii="Helvetica" w:hAnsi="Helvetica" w:cs="Helvetica"/>
        </w:rPr>
        <w:t>values for each temperature interval.</w:t>
      </w:r>
    </w:p>
    <w:p w:rsidR="00695013" w:rsidRPr="00BF0E83" w:rsidRDefault="00695013" w:rsidP="00695013">
      <w:pPr>
        <w:autoSpaceDE w:val="0"/>
        <w:autoSpaceDN w:val="0"/>
        <w:adjustRightInd w:val="0"/>
        <w:rPr>
          <w:rFonts w:ascii="Times-Italic" w:hAnsi="Times-Italic" w:cs="Times-Italic"/>
          <w:b/>
          <w:i/>
          <w:iCs/>
          <w:sz w:val="41"/>
          <w:szCs w:val="41"/>
          <w:vertAlign w:val="subscript"/>
        </w:rPr>
      </w:pPr>
      <w:r>
        <w:rPr>
          <w:rFonts w:ascii="Times-Italic" w:hAnsi="Times-Italic" w:cs="Times-Italic"/>
          <w:i/>
          <w:iCs/>
          <w:sz w:val="41"/>
          <w:szCs w:val="41"/>
        </w:rPr>
        <w:tab/>
      </w:r>
      <w:r>
        <w:rPr>
          <w:rFonts w:ascii="Times-Italic" w:hAnsi="Times-Italic" w:cs="Times-Italic"/>
          <w:i/>
          <w:iCs/>
          <w:sz w:val="41"/>
          <w:szCs w:val="41"/>
        </w:rPr>
        <w:tab/>
      </w:r>
      <w:r>
        <w:rPr>
          <w:rFonts w:ascii="Times-Italic" w:hAnsi="Times-Italic" w:cs="Times-Italic"/>
          <w:i/>
          <w:iCs/>
          <w:sz w:val="41"/>
          <w:szCs w:val="41"/>
        </w:rPr>
        <w:tab/>
      </w:r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(10</w:t>
      </w:r>
      <w:proofErr w:type="gramStart"/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/(</w:t>
      </w:r>
      <w:proofErr w:type="gramEnd"/>
      <w:r w:rsidRPr="00BF0E83">
        <w:rPr>
          <w:rFonts w:ascii="Times-Italic" w:hAnsi="Times-Italic" w:cs="Times-Italic"/>
          <w:b/>
          <w:i/>
          <w:iCs/>
          <w:sz w:val="32"/>
          <w:szCs w:val="32"/>
          <w:vertAlign w:val="subscript"/>
        </w:rPr>
        <w:t>T</w:t>
      </w:r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2</w:t>
      </w:r>
      <w:r w:rsidRPr="00BF0E83">
        <w:rPr>
          <w:rFonts w:ascii="Symbol" w:hAnsi="Symbol" w:cs="Symbol"/>
          <w:b/>
          <w:sz w:val="32"/>
          <w:szCs w:val="32"/>
          <w:vertAlign w:val="subscript"/>
        </w:rPr>
        <w:t></w:t>
      </w:r>
      <w:r w:rsidRPr="00BF0E83">
        <w:rPr>
          <w:rFonts w:ascii="Times-Italic" w:hAnsi="Times-Italic" w:cs="Times-Italic"/>
          <w:b/>
          <w:i/>
          <w:iCs/>
          <w:sz w:val="32"/>
          <w:szCs w:val="32"/>
          <w:vertAlign w:val="subscript"/>
        </w:rPr>
        <w:t>T</w:t>
      </w:r>
      <w:r w:rsidRPr="00BF0E83">
        <w:rPr>
          <w:rFonts w:ascii="Times-Roman" w:hAnsi="Times-Roman" w:cs="Times-Roman"/>
          <w:b/>
          <w:sz w:val="32"/>
          <w:szCs w:val="32"/>
          <w:vertAlign w:val="subscript"/>
        </w:rPr>
        <w:t>1))</w:t>
      </w:r>
    </w:p>
    <w:p w:rsidR="00695013" w:rsidRPr="00BF0E83" w:rsidRDefault="00695013" w:rsidP="00695013">
      <w:pPr>
        <w:autoSpaceDE w:val="0"/>
        <w:autoSpaceDN w:val="0"/>
        <w:adjustRightInd w:val="0"/>
        <w:rPr>
          <w:rFonts w:ascii="Times-Roman" w:hAnsi="Times-Roman" w:cs="Times-Roman"/>
          <w:sz w:val="41"/>
          <w:szCs w:val="41"/>
        </w:rPr>
      </w:pPr>
      <w:r>
        <w:rPr>
          <w:rFonts w:ascii="Times-Italic" w:hAnsi="Times-Italic" w:cs="Times-Italic"/>
          <w:i/>
          <w:iCs/>
          <w:sz w:val="41"/>
          <w:szCs w:val="41"/>
        </w:rPr>
        <w:t>Q</w:t>
      </w:r>
      <w:r>
        <w:rPr>
          <w:rFonts w:ascii="Times-Roman" w:hAnsi="Times-Roman" w:cs="Times-Roman"/>
        </w:rPr>
        <w:t xml:space="preserve">10 </w:t>
      </w:r>
      <w:proofErr w:type="gramStart"/>
      <w:r>
        <w:rPr>
          <w:rFonts w:ascii="Symbol" w:hAnsi="Symbol" w:cs="Symbol"/>
          <w:sz w:val="41"/>
          <w:szCs w:val="41"/>
        </w:rPr>
        <w:t></w:t>
      </w:r>
      <w:r>
        <w:rPr>
          <w:rFonts w:ascii="Times-Roman" w:hAnsi="Times-Roman" w:cs="Times-Roman"/>
          <w:sz w:val="41"/>
          <w:szCs w:val="41"/>
        </w:rPr>
        <w:t>{</w:t>
      </w:r>
      <w:proofErr w:type="gramEnd"/>
      <w:r>
        <w:rPr>
          <w:rFonts w:ascii="Times-Italic" w:hAnsi="Times-Italic" w:cs="Times-Italic"/>
          <w:i/>
          <w:iCs/>
          <w:sz w:val="41"/>
          <w:szCs w:val="41"/>
        </w:rPr>
        <w:t>R</w:t>
      </w:r>
      <w:r>
        <w:rPr>
          <w:rFonts w:ascii="Times-Roman" w:hAnsi="Times-Roman" w:cs="Times-Roman"/>
        </w:rPr>
        <w:t>2</w:t>
      </w:r>
      <w:r>
        <w:rPr>
          <w:rFonts w:ascii="Times-Roman" w:hAnsi="Times-Roman" w:cs="Times-Roman"/>
          <w:sz w:val="41"/>
          <w:szCs w:val="41"/>
        </w:rPr>
        <w:t>/</w:t>
      </w:r>
      <w:r>
        <w:rPr>
          <w:rFonts w:ascii="Times-Italic" w:hAnsi="Times-Italic" w:cs="Times-Italic"/>
          <w:i/>
          <w:iCs/>
          <w:sz w:val="41"/>
          <w:szCs w:val="41"/>
        </w:rPr>
        <w:t>R</w:t>
      </w:r>
      <w:r>
        <w:rPr>
          <w:rFonts w:ascii="Times-Roman" w:hAnsi="Times-Roman" w:cs="Times-Roman"/>
        </w:rPr>
        <w:t>1</w:t>
      </w:r>
      <w:r>
        <w:rPr>
          <w:rFonts w:ascii="Times-Roman" w:hAnsi="Times-Roman" w:cs="Times-Roman"/>
          <w:sz w:val="41"/>
          <w:szCs w:val="41"/>
        </w:rPr>
        <w:t>}</w:t>
      </w: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(b) Within which temperature interval (15-20 or 20-30) is the rate of metabolism most sensitive to temperature change?</w:t>
      </w:r>
    </w:p>
    <w:p w:rsidR="00695013" w:rsidRDefault="00695013" w:rsidP="00695013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p w:rsidR="00695013" w:rsidRPr="0048685F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(c) For this species, would a Q</w:t>
      </w:r>
      <w:r>
        <w:rPr>
          <w:rFonts w:ascii="Helvetica" w:hAnsi="Helvetica" w:cs="Helvetica"/>
          <w:sz w:val="20"/>
          <w:szCs w:val="20"/>
        </w:rPr>
        <w:t xml:space="preserve">10 </w:t>
      </w:r>
      <w:r>
        <w:rPr>
          <w:rFonts w:ascii="Helvetica" w:hAnsi="Helvetica" w:cs="Helvetica"/>
        </w:rPr>
        <w:t>calculated for 15 to 30</w:t>
      </w:r>
      <w:r w:rsidRPr="0048685F">
        <w:rPr>
          <w:rFonts w:ascii="Helvetica" w:hAnsi="Helvetica" w:cs="Helvetica"/>
          <w:sz w:val="20"/>
          <w:szCs w:val="20"/>
          <w:vertAlign w:val="superscript"/>
        </w:rPr>
        <w:t xml:space="preserve"> </w:t>
      </w:r>
      <w:r w:rsidRPr="00BF0E83">
        <w:rPr>
          <w:rFonts w:ascii="Helvetica" w:hAnsi="Helvetica" w:cs="Helvetica"/>
          <w:sz w:val="20"/>
          <w:szCs w:val="20"/>
          <w:vertAlign w:val="superscript"/>
        </w:rPr>
        <w:t>º</w:t>
      </w:r>
      <w:r>
        <w:rPr>
          <w:rFonts w:ascii="Helvetica" w:hAnsi="Helvetica" w:cs="Helvetica"/>
        </w:rPr>
        <w:t>C be as useful as several for smaller temperature ranges? Calculate that Q</w:t>
      </w:r>
      <w:r>
        <w:rPr>
          <w:rFonts w:ascii="Helvetica" w:hAnsi="Helvetica" w:cs="Helvetica"/>
          <w:sz w:val="20"/>
          <w:szCs w:val="20"/>
        </w:rPr>
        <w:t xml:space="preserve">10 </w:t>
      </w:r>
      <w:r>
        <w:rPr>
          <w:rFonts w:ascii="Helvetica" w:hAnsi="Helvetica" w:cs="Helvetica"/>
        </w:rPr>
        <w:t>as part of your answer.</w:t>
      </w:r>
    </w:p>
    <w:p w:rsidR="00695013" w:rsidRDefault="00695013" w:rsidP="00695013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  <w:r>
        <w:rPr>
          <w:rFonts w:ascii="Helvetica" w:hAnsi="Helvetica" w:cs="Helvetica"/>
        </w:rPr>
        <w:t xml:space="preserve">3. The reaction rate for a certain process at </w:t>
      </w:r>
      <w:r>
        <w:rPr>
          <w:rFonts w:ascii="Helvetica-Bold" w:hAnsi="Helvetica-Bold" w:cs="Helvetica-Bold"/>
          <w:b/>
          <w:bCs/>
        </w:rPr>
        <w:t>14</w:t>
      </w:r>
      <w:r w:rsidRPr="0048685F">
        <w:rPr>
          <w:rFonts w:ascii="Helvetica" w:hAnsi="Helvetica" w:cs="Helvetica"/>
          <w:sz w:val="20"/>
          <w:szCs w:val="20"/>
          <w:vertAlign w:val="superscript"/>
        </w:rPr>
        <w:t xml:space="preserve"> </w:t>
      </w:r>
      <w:r w:rsidRPr="00BF0E83">
        <w:rPr>
          <w:rFonts w:ascii="Helvetica" w:hAnsi="Helvetica" w:cs="Helvetica"/>
          <w:sz w:val="20"/>
          <w:szCs w:val="20"/>
          <w:vertAlign w:val="superscript"/>
        </w:rPr>
        <w:t>º</w:t>
      </w:r>
      <w:r>
        <w:rPr>
          <w:rFonts w:ascii="Helvetica" w:hAnsi="Helvetica" w:cs="Helvetica"/>
        </w:rPr>
        <w:t>C</w:t>
      </w:r>
      <w:r>
        <w:rPr>
          <w:rFonts w:ascii="Helvetica-Bold" w:hAnsi="Helvetica-Bold" w:cs="Helvetica-Bold"/>
          <w:b/>
          <w:bCs/>
        </w:rPr>
        <w:t xml:space="preserve"> is 15 units / time.</w:t>
      </w:r>
    </w:p>
    <w:p w:rsidR="00695013" w:rsidRDefault="00695013" w:rsidP="00695013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(a) What would be the reaction rate at 20</w:t>
      </w:r>
      <w:r w:rsidRPr="0048685F">
        <w:rPr>
          <w:rFonts w:ascii="Helvetica" w:hAnsi="Helvetica" w:cs="Helvetica"/>
          <w:sz w:val="20"/>
          <w:szCs w:val="20"/>
          <w:vertAlign w:val="superscript"/>
        </w:rPr>
        <w:t xml:space="preserve"> </w:t>
      </w:r>
      <w:r w:rsidRPr="00BF0E83">
        <w:rPr>
          <w:rFonts w:ascii="Helvetica" w:hAnsi="Helvetica" w:cs="Helvetica"/>
          <w:sz w:val="20"/>
          <w:szCs w:val="20"/>
          <w:vertAlign w:val="superscript"/>
        </w:rPr>
        <w:t>º</w:t>
      </w:r>
      <w:r>
        <w:rPr>
          <w:rFonts w:ascii="Helvetica" w:hAnsi="Helvetica" w:cs="Helvetica"/>
        </w:rPr>
        <w:t>C if the Q</w:t>
      </w:r>
      <w:r>
        <w:rPr>
          <w:rFonts w:ascii="Helvetica" w:hAnsi="Helvetica" w:cs="Helvetica"/>
          <w:sz w:val="20"/>
          <w:szCs w:val="20"/>
        </w:rPr>
        <w:t xml:space="preserve">10 </w:t>
      </w:r>
      <w:r>
        <w:rPr>
          <w:rFonts w:ascii="Helvetica" w:hAnsi="Helvetica" w:cs="Helvetica"/>
        </w:rPr>
        <w:t>= 1?</w:t>
      </w:r>
    </w:p>
    <w:p w:rsidR="00ED744F" w:rsidRDefault="00ED744F"/>
    <w:p w:rsidR="00695013" w:rsidRDefault="00695013" w:rsidP="00695013">
      <w:pPr>
        <w:jc w:val="center"/>
        <w:rPr>
          <w:rFonts w:ascii="Helvetica" w:hAnsi="Helvetica" w:cs="Helvetica"/>
          <w:b/>
          <w:u w:val="single"/>
        </w:rPr>
      </w:pPr>
    </w:p>
    <w:p w:rsidR="00695013" w:rsidRDefault="00695013" w:rsidP="00695013">
      <w:pPr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b/>
          <w:u w:val="single"/>
        </w:rPr>
        <w:lastRenderedPageBreak/>
        <w:t>Part B</w:t>
      </w:r>
      <w:r w:rsidRPr="00695013">
        <w:rPr>
          <w:rFonts w:ascii="Helvetica" w:hAnsi="Helvetica" w:cs="Helvetica"/>
          <w:b/>
          <w:u w:val="single"/>
        </w:rPr>
        <w:t xml:space="preserve">: </w:t>
      </w:r>
      <w:r>
        <w:rPr>
          <w:rFonts w:ascii="Helvetica" w:hAnsi="Helvetica" w:cs="Helvetica"/>
          <w:b/>
          <w:u w:val="single"/>
        </w:rPr>
        <w:t xml:space="preserve">Gibbs </w:t>
      </w:r>
      <w:proofErr w:type="gramStart"/>
      <w:r>
        <w:rPr>
          <w:rFonts w:ascii="Helvetica" w:hAnsi="Helvetica" w:cs="Helvetica"/>
          <w:b/>
          <w:u w:val="single"/>
        </w:rPr>
        <w:t>Free Energy</w:t>
      </w:r>
      <w:proofErr w:type="gramEnd"/>
      <w:r>
        <w:rPr>
          <w:rFonts w:ascii="Helvetica" w:hAnsi="Helvetica" w:cs="Helvetica"/>
          <w:b/>
          <w:u w:val="single"/>
        </w:rPr>
        <w:t xml:space="preserve"> Calculations</w:t>
      </w:r>
    </w:p>
    <w:p w:rsidR="00695013" w:rsidRDefault="00695013" w:rsidP="00695013">
      <w:pPr>
        <w:rPr>
          <w:rFonts w:ascii="Arial" w:hAnsi="Arial" w:cs="Arial"/>
          <w:b/>
          <w:bCs/>
          <w:sz w:val="36"/>
          <w:szCs w:val="36"/>
          <w:u w:val="single"/>
        </w:rPr>
      </w:pPr>
    </w:p>
    <w:p w:rsidR="00695013" w:rsidRPr="00695013" w:rsidRDefault="00695013" w:rsidP="00695013">
      <w:pPr>
        <w:rPr>
          <w:rFonts w:ascii="Arial" w:hAnsi="Arial" w:cs="Arial"/>
          <w:b/>
          <w:sz w:val="36"/>
          <w:szCs w:val="36"/>
          <w:u w:val="single"/>
        </w:rPr>
      </w:pPr>
      <w:r w:rsidRPr="00695013">
        <w:rPr>
          <w:rFonts w:ascii="Arial" w:hAnsi="Arial" w:cs="Arial"/>
          <w:b/>
          <w:bCs/>
          <w:sz w:val="36"/>
          <w:szCs w:val="36"/>
          <w:u w:val="single"/>
        </w:rPr>
        <w:t>ΔG = ΔH - T ΔS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>What is Entropy?  = a measurement of ______________________________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When </w:t>
      </w:r>
      <w:r w:rsidRPr="00695013">
        <w:rPr>
          <w:rFonts w:ascii="Arial" w:hAnsi="Arial" w:cs="Arial"/>
          <w:b/>
          <w:bCs/>
        </w:rPr>
        <w:t>Δ</w:t>
      </w:r>
      <w:r w:rsidRPr="00695013">
        <w:rPr>
          <w:rFonts w:ascii="Arial" w:hAnsi="Arial" w:cs="Arial"/>
        </w:rPr>
        <w:t xml:space="preserve">S is positive this means there </w:t>
      </w:r>
      <w:proofErr w:type="gramStart"/>
      <w:r w:rsidRPr="00695013">
        <w:rPr>
          <w:rFonts w:ascii="Arial" w:hAnsi="Arial" w:cs="Arial"/>
        </w:rPr>
        <w:t>is  _</w:t>
      </w:r>
      <w:proofErr w:type="gramEnd"/>
      <w:r w:rsidRPr="00695013">
        <w:rPr>
          <w:rFonts w:ascii="Arial" w:hAnsi="Arial" w:cs="Arial"/>
        </w:rPr>
        <w:t>_________________________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When </w:t>
      </w:r>
      <w:r w:rsidRPr="00695013">
        <w:rPr>
          <w:rFonts w:ascii="Arial" w:hAnsi="Arial" w:cs="Arial"/>
          <w:b/>
          <w:bCs/>
        </w:rPr>
        <w:t>Δ</w:t>
      </w:r>
      <w:r w:rsidRPr="00695013">
        <w:rPr>
          <w:rFonts w:ascii="Arial" w:hAnsi="Arial" w:cs="Arial"/>
        </w:rPr>
        <w:t xml:space="preserve">S is negative this means there </w:t>
      </w:r>
      <w:proofErr w:type="gramStart"/>
      <w:r w:rsidRPr="00695013">
        <w:rPr>
          <w:rFonts w:ascii="Arial" w:hAnsi="Arial" w:cs="Arial"/>
        </w:rPr>
        <w:t>is  _</w:t>
      </w:r>
      <w:proofErr w:type="gramEnd"/>
      <w:r w:rsidRPr="00695013">
        <w:rPr>
          <w:rFonts w:ascii="Arial" w:hAnsi="Arial" w:cs="Arial"/>
        </w:rPr>
        <w:t>_________________________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What is </w:t>
      </w:r>
      <w:r w:rsidRPr="00695013">
        <w:rPr>
          <w:rFonts w:ascii="Arial" w:hAnsi="Arial" w:cs="Arial"/>
          <w:b/>
          <w:bCs/>
        </w:rPr>
        <w:t>Δ</w:t>
      </w:r>
      <w:r w:rsidRPr="00695013">
        <w:rPr>
          <w:rFonts w:ascii="Arial" w:hAnsi="Arial" w:cs="Arial"/>
        </w:rPr>
        <w:t>H? = a measurement of __________________________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When </w:t>
      </w:r>
      <w:r w:rsidRPr="00695013">
        <w:rPr>
          <w:rFonts w:ascii="Arial" w:hAnsi="Arial" w:cs="Arial"/>
          <w:b/>
          <w:bCs/>
        </w:rPr>
        <w:t>Δ</w:t>
      </w:r>
      <w:r w:rsidRPr="00695013">
        <w:rPr>
          <w:rFonts w:ascii="Arial" w:hAnsi="Arial" w:cs="Arial"/>
          <w:bCs/>
        </w:rPr>
        <w:t>H is positive this means the reaction is __________________________</w:t>
      </w: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When </w:t>
      </w:r>
      <w:r w:rsidRPr="00695013">
        <w:rPr>
          <w:rFonts w:ascii="Arial" w:hAnsi="Arial" w:cs="Arial"/>
          <w:b/>
          <w:bCs/>
        </w:rPr>
        <w:t>Δ</w:t>
      </w:r>
      <w:r w:rsidRPr="00695013">
        <w:rPr>
          <w:rFonts w:ascii="Arial" w:hAnsi="Arial" w:cs="Arial"/>
          <w:bCs/>
        </w:rPr>
        <w:t>H is negative this means the reaction is __________________________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What is Gibbs </w:t>
      </w:r>
      <w:proofErr w:type="gramStart"/>
      <w:r w:rsidRPr="00695013">
        <w:rPr>
          <w:rFonts w:ascii="Arial" w:hAnsi="Arial" w:cs="Arial"/>
        </w:rPr>
        <w:t>Free</w:t>
      </w:r>
      <w:proofErr w:type="gramEnd"/>
      <w:r w:rsidRPr="00695013">
        <w:rPr>
          <w:rFonts w:ascii="Arial" w:hAnsi="Arial" w:cs="Arial"/>
        </w:rPr>
        <w:t xml:space="preserve"> energy? = a measurement of ___________________________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When </w:t>
      </w:r>
      <w:r w:rsidRPr="00695013">
        <w:rPr>
          <w:rFonts w:ascii="Arial" w:hAnsi="Arial" w:cs="Arial"/>
          <w:b/>
          <w:bCs/>
        </w:rPr>
        <w:t>Δ</w:t>
      </w:r>
      <w:r w:rsidRPr="00695013">
        <w:rPr>
          <w:rFonts w:ascii="Arial" w:hAnsi="Arial" w:cs="Arial"/>
          <w:bCs/>
        </w:rPr>
        <w:t xml:space="preserve">G is positive this means the reaction will </w:t>
      </w:r>
      <w:proofErr w:type="gramStart"/>
      <w:r w:rsidRPr="00695013">
        <w:rPr>
          <w:rFonts w:ascii="Arial" w:hAnsi="Arial" w:cs="Arial"/>
          <w:bCs/>
        </w:rPr>
        <w:t>happen  _</w:t>
      </w:r>
      <w:proofErr w:type="gramEnd"/>
      <w:r w:rsidRPr="00695013">
        <w:rPr>
          <w:rFonts w:ascii="Arial" w:hAnsi="Arial" w:cs="Arial"/>
          <w:bCs/>
        </w:rPr>
        <w:t>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When </w:t>
      </w:r>
      <w:r w:rsidRPr="00695013">
        <w:rPr>
          <w:rFonts w:ascii="Arial" w:hAnsi="Arial" w:cs="Arial"/>
          <w:b/>
          <w:bCs/>
        </w:rPr>
        <w:t>Δ</w:t>
      </w:r>
      <w:r w:rsidRPr="00695013">
        <w:rPr>
          <w:rFonts w:ascii="Arial" w:hAnsi="Arial" w:cs="Arial"/>
          <w:bCs/>
        </w:rPr>
        <w:t xml:space="preserve">G is negative this means the reaction will </w:t>
      </w:r>
      <w:proofErr w:type="gramStart"/>
      <w:r w:rsidRPr="00695013">
        <w:rPr>
          <w:rFonts w:ascii="Arial" w:hAnsi="Arial" w:cs="Arial"/>
          <w:bCs/>
        </w:rPr>
        <w:t>happen  _</w:t>
      </w:r>
      <w:proofErr w:type="gramEnd"/>
      <w:r w:rsidRPr="00695013">
        <w:rPr>
          <w:rFonts w:ascii="Arial" w:hAnsi="Arial" w:cs="Arial"/>
          <w:bCs/>
        </w:rPr>
        <w:t>________________________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ΔG (Joules)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ΔH (Joules)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T (Kelvin)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ΔS (J/K)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1000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5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1100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5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1200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5</w:t>
            </w:r>
          </w:p>
        </w:tc>
      </w:tr>
    </w:tbl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What happens to </w:t>
      </w:r>
      <w:r w:rsidRPr="00695013">
        <w:rPr>
          <w:rFonts w:ascii="Arial" w:hAnsi="Arial" w:cs="Arial"/>
          <w:bCs/>
          <w:sz w:val="36"/>
          <w:szCs w:val="36"/>
          <w:u w:val="single"/>
        </w:rPr>
        <w:t>ΔG</w:t>
      </w:r>
      <w:r w:rsidRPr="00695013">
        <w:rPr>
          <w:rFonts w:ascii="Arial" w:hAnsi="Arial" w:cs="Arial"/>
          <w:b/>
          <w:bCs/>
        </w:rPr>
        <w:t xml:space="preserve"> </w:t>
      </w:r>
      <w:r w:rsidRPr="00695013">
        <w:rPr>
          <w:rFonts w:ascii="Arial" w:hAnsi="Arial" w:cs="Arial"/>
          <w:bCs/>
        </w:rPr>
        <w:t xml:space="preserve">when </w:t>
      </w:r>
      <w:proofErr w:type="gramStart"/>
      <w:r w:rsidRPr="00695013">
        <w:rPr>
          <w:rFonts w:ascii="Arial" w:hAnsi="Arial" w:cs="Arial"/>
          <w:bCs/>
          <w:sz w:val="36"/>
          <w:szCs w:val="36"/>
          <w:u w:val="single"/>
        </w:rPr>
        <w:t>ΔH</w:t>
      </w:r>
      <w:r w:rsidRPr="00695013">
        <w:rPr>
          <w:rFonts w:ascii="Arial" w:hAnsi="Arial" w:cs="Arial"/>
          <w:bCs/>
        </w:rPr>
        <w:t xml:space="preserve">  goes</w:t>
      </w:r>
      <w:proofErr w:type="gramEnd"/>
      <w:r w:rsidRPr="00695013">
        <w:rPr>
          <w:rFonts w:ascii="Arial" w:hAnsi="Arial" w:cs="Arial"/>
          <w:bCs/>
        </w:rPr>
        <w:t xml:space="preserve"> up ?  WHY?</w:t>
      </w: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What happens to </w:t>
      </w:r>
      <w:r w:rsidRPr="00695013">
        <w:rPr>
          <w:rFonts w:ascii="Arial" w:hAnsi="Arial" w:cs="Arial"/>
          <w:bCs/>
          <w:sz w:val="36"/>
          <w:szCs w:val="36"/>
          <w:u w:val="single"/>
        </w:rPr>
        <w:t>ΔG</w:t>
      </w:r>
      <w:r w:rsidRPr="00695013">
        <w:rPr>
          <w:rFonts w:ascii="Arial" w:hAnsi="Arial" w:cs="Arial"/>
          <w:b/>
          <w:bCs/>
        </w:rPr>
        <w:t xml:space="preserve"> </w:t>
      </w:r>
      <w:r w:rsidRPr="00695013">
        <w:rPr>
          <w:rFonts w:ascii="Arial" w:hAnsi="Arial" w:cs="Arial"/>
          <w:bCs/>
        </w:rPr>
        <w:t xml:space="preserve">when </w:t>
      </w:r>
      <w:proofErr w:type="gramStart"/>
      <w:r w:rsidRPr="00695013">
        <w:rPr>
          <w:rFonts w:ascii="Arial" w:hAnsi="Arial" w:cs="Arial"/>
          <w:bCs/>
          <w:sz w:val="36"/>
          <w:szCs w:val="36"/>
          <w:u w:val="single"/>
        </w:rPr>
        <w:t>ΔH</w:t>
      </w:r>
      <w:r w:rsidRPr="00695013">
        <w:rPr>
          <w:rFonts w:ascii="Arial" w:hAnsi="Arial" w:cs="Arial"/>
          <w:bCs/>
        </w:rPr>
        <w:t xml:space="preserve">  goes</w:t>
      </w:r>
      <w:proofErr w:type="gramEnd"/>
      <w:r w:rsidRPr="00695013">
        <w:rPr>
          <w:rFonts w:ascii="Arial" w:hAnsi="Arial" w:cs="Arial"/>
          <w:bCs/>
        </w:rPr>
        <w:t xml:space="preserve"> down ?   WHY?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ΔG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ΔH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T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ΔS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1700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5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1700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310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5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1700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320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5</w:t>
            </w:r>
          </w:p>
        </w:tc>
      </w:tr>
    </w:tbl>
    <w:p w:rsidR="00695013" w:rsidRPr="00695013" w:rsidRDefault="00695013" w:rsidP="00695013">
      <w:pPr>
        <w:rPr>
          <w:rFonts w:ascii="Arial" w:hAnsi="Arial" w:cs="Arial"/>
        </w:rPr>
      </w:pPr>
    </w:p>
    <w:p w:rsid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What happens to </w:t>
      </w:r>
      <w:r w:rsidRPr="00695013">
        <w:rPr>
          <w:rFonts w:ascii="Arial" w:hAnsi="Arial" w:cs="Arial"/>
          <w:bCs/>
          <w:sz w:val="36"/>
          <w:szCs w:val="36"/>
          <w:u w:val="single"/>
        </w:rPr>
        <w:t>ΔG</w:t>
      </w:r>
      <w:r w:rsidRPr="00695013">
        <w:rPr>
          <w:rFonts w:ascii="Arial" w:hAnsi="Arial" w:cs="Arial"/>
          <w:b/>
          <w:bCs/>
        </w:rPr>
        <w:t xml:space="preserve"> </w:t>
      </w:r>
      <w:r w:rsidRPr="00695013">
        <w:rPr>
          <w:rFonts w:ascii="Arial" w:hAnsi="Arial" w:cs="Arial"/>
          <w:bCs/>
        </w:rPr>
        <w:t xml:space="preserve">when </w:t>
      </w:r>
      <w:proofErr w:type="gramStart"/>
      <w:r w:rsidRPr="00695013">
        <w:rPr>
          <w:rFonts w:ascii="Arial" w:hAnsi="Arial" w:cs="Arial"/>
          <w:bCs/>
          <w:sz w:val="36"/>
          <w:szCs w:val="36"/>
          <w:u w:val="single"/>
        </w:rPr>
        <w:t>T</w:t>
      </w:r>
      <w:r w:rsidRPr="00695013">
        <w:rPr>
          <w:rFonts w:ascii="Arial" w:hAnsi="Arial" w:cs="Arial"/>
          <w:bCs/>
        </w:rPr>
        <w:t xml:space="preserve">  goes</w:t>
      </w:r>
      <w:proofErr w:type="gramEnd"/>
      <w:r w:rsidRPr="00695013">
        <w:rPr>
          <w:rFonts w:ascii="Arial" w:hAnsi="Arial" w:cs="Arial"/>
          <w:bCs/>
        </w:rPr>
        <w:t xml:space="preserve"> up ?  WHY?</w:t>
      </w: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What happens to </w:t>
      </w:r>
      <w:r w:rsidRPr="00695013">
        <w:rPr>
          <w:rFonts w:ascii="Arial" w:hAnsi="Arial" w:cs="Arial"/>
          <w:bCs/>
          <w:sz w:val="36"/>
          <w:szCs w:val="36"/>
          <w:u w:val="single"/>
        </w:rPr>
        <w:t>ΔG</w:t>
      </w:r>
      <w:r w:rsidRPr="00695013">
        <w:rPr>
          <w:rFonts w:ascii="Arial" w:hAnsi="Arial" w:cs="Arial"/>
          <w:b/>
          <w:bCs/>
        </w:rPr>
        <w:t xml:space="preserve"> </w:t>
      </w:r>
      <w:r w:rsidRPr="00695013">
        <w:rPr>
          <w:rFonts w:ascii="Arial" w:hAnsi="Arial" w:cs="Arial"/>
          <w:bCs/>
        </w:rPr>
        <w:t xml:space="preserve">when </w:t>
      </w:r>
      <w:r w:rsidRPr="00695013">
        <w:rPr>
          <w:rFonts w:ascii="Arial" w:hAnsi="Arial" w:cs="Arial"/>
          <w:bCs/>
          <w:sz w:val="36"/>
          <w:szCs w:val="36"/>
          <w:u w:val="single"/>
        </w:rPr>
        <w:t>T</w:t>
      </w:r>
      <w:r w:rsidRPr="00695013">
        <w:rPr>
          <w:rFonts w:ascii="Arial" w:hAnsi="Arial" w:cs="Arial"/>
          <w:bCs/>
        </w:rPr>
        <w:t xml:space="preserve"> goes </w:t>
      </w:r>
      <w:proofErr w:type="gramStart"/>
      <w:r w:rsidRPr="00695013">
        <w:rPr>
          <w:rFonts w:ascii="Arial" w:hAnsi="Arial" w:cs="Arial"/>
          <w:bCs/>
        </w:rPr>
        <w:t>down ?</w:t>
      </w:r>
      <w:proofErr w:type="gramEnd"/>
      <w:r w:rsidRPr="00695013">
        <w:rPr>
          <w:rFonts w:ascii="Arial" w:hAnsi="Arial" w:cs="Arial"/>
          <w:bCs/>
        </w:rPr>
        <w:t xml:space="preserve">   WHY?</w:t>
      </w: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ΔG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ΔH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T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695013">
              <w:rPr>
                <w:rFonts w:ascii="Arial" w:hAnsi="Arial" w:cs="Arial"/>
                <w:bCs/>
                <w:sz w:val="36"/>
                <w:szCs w:val="36"/>
                <w:u w:val="single"/>
              </w:rPr>
              <w:t>ΔS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7500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5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7500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10</w:t>
            </w:r>
          </w:p>
        </w:tc>
      </w:tr>
      <w:tr w:rsidR="00695013" w:rsidRPr="00695013" w:rsidTr="00CD25CD">
        <w:tc>
          <w:tcPr>
            <w:tcW w:w="2214" w:type="dxa"/>
          </w:tcPr>
          <w:p w:rsidR="00695013" w:rsidRPr="00695013" w:rsidRDefault="00695013" w:rsidP="00CD25CD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7500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300</w:t>
            </w:r>
          </w:p>
        </w:tc>
        <w:tc>
          <w:tcPr>
            <w:tcW w:w="2214" w:type="dxa"/>
          </w:tcPr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  <w:r w:rsidRPr="00695013">
              <w:rPr>
                <w:rFonts w:ascii="Arial" w:hAnsi="Arial" w:cs="Arial"/>
              </w:rPr>
              <w:t>15</w:t>
            </w:r>
          </w:p>
        </w:tc>
      </w:tr>
    </w:tbl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What happens to </w:t>
      </w:r>
      <w:r w:rsidRPr="00695013">
        <w:rPr>
          <w:rFonts w:ascii="Arial" w:hAnsi="Arial" w:cs="Arial"/>
          <w:bCs/>
          <w:sz w:val="36"/>
          <w:szCs w:val="36"/>
          <w:u w:val="single"/>
        </w:rPr>
        <w:t>ΔG</w:t>
      </w:r>
      <w:r w:rsidRPr="00695013">
        <w:rPr>
          <w:rFonts w:ascii="Arial" w:hAnsi="Arial" w:cs="Arial"/>
          <w:b/>
          <w:bCs/>
        </w:rPr>
        <w:t xml:space="preserve"> </w:t>
      </w:r>
      <w:r w:rsidRPr="00695013">
        <w:rPr>
          <w:rFonts w:ascii="Arial" w:hAnsi="Arial" w:cs="Arial"/>
          <w:bCs/>
        </w:rPr>
        <w:t xml:space="preserve">when </w:t>
      </w:r>
      <w:proofErr w:type="gramStart"/>
      <w:r w:rsidRPr="00695013">
        <w:rPr>
          <w:rFonts w:ascii="Arial" w:hAnsi="Arial" w:cs="Arial"/>
          <w:bCs/>
          <w:sz w:val="36"/>
          <w:szCs w:val="36"/>
          <w:u w:val="single"/>
        </w:rPr>
        <w:t>ΔS</w:t>
      </w:r>
      <w:r w:rsidRPr="00695013">
        <w:rPr>
          <w:rFonts w:ascii="Arial" w:hAnsi="Arial" w:cs="Arial"/>
          <w:bCs/>
        </w:rPr>
        <w:t xml:space="preserve">  goes</w:t>
      </w:r>
      <w:proofErr w:type="gramEnd"/>
      <w:r w:rsidRPr="00695013">
        <w:rPr>
          <w:rFonts w:ascii="Arial" w:hAnsi="Arial" w:cs="Arial"/>
          <w:bCs/>
        </w:rPr>
        <w:t xml:space="preserve"> up ?  WHY?</w:t>
      </w: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</w:p>
    <w:p w:rsidR="00695013" w:rsidRPr="00695013" w:rsidRDefault="00695013" w:rsidP="00695013">
      <w:pPr>
        <w:rPr>
          <w:rFonts w:ascii="Arial" w:hAnsi="Arial" w:cs="Arial"/>
          <w:bCs/>
        </w:rPr>
      </w:pPr>
      <w:r w:rsidRPr="00695013">
        <w:rPr>
          <w:rFonts w:ascii="Arial" w:hAnsi="Arial" w:cs="Arial"/>
        </w:rPr>
        <w:t xml:space="preserve">What happens to </w:t>
      </w:r>
      <w:r w:rsidRPr="00695013">
        <w:rPr>
          <w:rFonts w:ascii="Arial" w:hAnsi="Arial" w:cs="Arial"/>
          <w:bCs/>
          <w:sz w:val="36"/>
          <w:szCs w:val="36"/>
          <w:u w:val="single"/>
        </w:rPr>
        <w:t>ΔG</w:t>
      </w:r>
      <w:r w:rsidRPr="00695013">
        <w:rPr>
          <w:rFonts w:ascii="Arial" w:hAnsi="Arial" w:cs="Arial"/>
          <w:b/>
          <w:bCs/>
        </w:rPr>
        <w:t xml:space="preserve"> </w:t>
      </w:r>
      <w:r w:rsidRPr="00695013">
        <w:rPr>
          <w:rFonts w:ascii="Arial" w:hAnsi="Arial" w:cs="Arial"/>
          <w:bCs/>
        </w:rPr>
        <w:t xml:space="preserve">when </w:t>
      </w:r>
      <w:r w:rsidRPr="00695013">
        <w:rPr>
          <w:rFonts w:ascii="Arial" w:hAnsi="Arial" w:cs="Arial"/>
          <w:bCs/>
          <w:sz w:val="36"/>
          <w:szCs w:val="36"/>
          <w:u w:val="single"/>
        </w:rPr>
        <w:t>ΔS</w:t>
      </w:r>
      <w:r w:rsidRPr="00695013">
        <w:rPr>
          <w:rFonts w:ascii="Arial" w:hAnsi="Arial" w:cs="Arial"/>
          <w:bCs/>
        </w:rPr>
        <w:t xml:space="preserve"> goes </w:t>
      </w:r>
      <w:proofErr w:type="gramStart"/>
      <w:r w:rsidRPr="00695013">
        <w:rPr>
          <w:rFonts w:ascii="Arial" w:hAnsi="Arial" w:cs="Arial"/>
          <w:bCs/>
        </w:rPr>
        <w:t>down ?</w:t>
      </w:r>
      <w:proofErr w:type="gramEnd"/>
      <w:r w:rsidRPr="00695013">
        <w:rPr>
          <w:rFonts w:ascii="Arial" w:hAnsi="Arial" w:cs="Arial"/>
          <w:bCs/>
        </w:rPr>
        <w:t xml:space="preserve">   WHY?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pStyle w:val="NormalWeb"/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Biochemical free energies are usually given as standard free energies of hydrolysis. For example, the hydrolysis of glucose-6-phosphate: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350"/>
      </w:tblGrid>
      <w:tr w:rsidR="00695013" w:rsidRPr="00695013" w:rsidTr="00CD25CD">
        <w:trPr>
          <w:tblCellSpacing w:w="0" w:type="dxa"/>
          <w:jc w:val="center"/>
        </w:trPr>
        <w:tc>
          <w:tcPr>
            <w:tcW w:w="5000" w:type="pct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4350"/>
            </w:tblGrid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695013" w:rsidRPr="00695013" w:rsidRDefault="00695013" w:rsidP="00CD25CD">
                  <w:pPr>
                    <w:jc w:val="center"/>
                    <w:rPr>
                      <w:rFonts w:ascii="Arial" w:hAnsi="Arial" w:cs="Arial"/>
                    </w:rPr>
                  </w:pPr>
                  <w:r w:rsidRPr="0069501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743200" cy="161925"/>
                        <wp:effectExtent l="19050" t="0" r="0" b="0"/>
                        <wp:docPr id="2" name="Picture 2" descr="246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246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5013" w:rsidRPr="00695013" w:rsidRDefault="00695013" w:rsidP="00695013">
      <w:pPr>
        <w:pStyle w:val="NormalWeb"/>
        <w:rPr>
          <w:rFonts w:ascii="Arial" w:hAnsi="Arial" w:cs="Arial"/>
        </w:rPr>
      </w:pPr>
      <w:proofErr w:type="gramStart"/>
      <w:r w:rsidRPr="00695013">
        <w:rPr>
          <w:rFonts w:ascii="Arial" w:hAnsi="Arial" w:cs="Arial"/>
        </w:rPr>
        <w:t>has</w:t>
      </w:r>
      <w:proofErr w:type="gramEnd"/>
      <w:r w:rsidRPr="00695013">
        <w:rPr>
          <w:rFonts w:ascii="Arial" w:hAnsi="Arial" w:cs="Arial"/>
        </w:rPr>
        <w:t xml:space="preserve"> ΔG° = -4.0 kcal/mole (-16.5 kJ/mole) under standard conditions. Therefore, the opposite reaction, the </w:t>
      </w:r>
      <w:proofErr w:type="spellStart"/>
      <w:r w:rsidRPr="00695013">
        <w:rPr>
          <w:rFonts w:ascii="Arial" w:hAnsi="Arial" w:cs="Arial"/>
        </w:rPr>
        <w:t>phosphorylation</w:t>
      </w:r>
      <w:proofErr w:type="spellEnd"/>
      <w:r w:rsidRPr="00695013">
        <w:rPr>
          <w:rFonts w:ascii="Arial" w:hAnsi="Arial" w:cs="Arial"/>
        </w:rPr>
        <w:t xml:space="preserve"> of glucose, is </w:t>
      </w:r>
      <w:proofErr w:type="spellStart"/>
      <w:r w:rsidRPr="00695013">
        <w:rPr>
          <w:rFonts w:ascii="Arial" w:hAnsi="Arial" w:cs="Arial"/>
        </w:rPr>
        <w:t>unfavored</w:t>
      </w:r>
      <w:proofErr w:type="spellEnd"/>
      <w:r w:rsidRPr="00695013">
        <w:rPr>
          <w:rFonts w:ascii="Arial" w:hAnsi="Arial" w:cs="Arial"/>
        </w:rPr>
        <w:t xml:space="preserve">. However, the </w:t>
      </w:r>
      <w:proofErr w:type="spellStart"/>
      <w:r w:rsidRPr="00695013">
        <w:rPr>
          <w:rFonts w:ascii="Arial" w:hAnsi="Arial" w:cs="Arial"/>
        </w:rPr>
        <w:t>phosphorylation</w:t>
      </w:r>
      <w:proofErr w:type="spellEnd"/>
      <w:r w:rsidRPr="00695013">
        <w:rPr>
          <w:rFonts w:ascii="Arial" w:hAnsi="Arial" w:cs="Arial"/>
        </w:rPr>
        <w:t xml:space="preserve"> of glucose occurs readily in the cell, catalyzed by the enzyme </w:t>
      </w:r>
      <w:proofErr w:type="spellStart"/>
      <w:r w:rsidRPr="00695013">
        <w:rPr>
          <w:rFonts w:ascii="Arial" w:hAnsi="Arial" w:cs="Arial"/>
        </w:rPr>
        <w:t>hexokinase</w:t>
      </w:r>
      <w:proofErr w:type="spellEnd"/>
      <w:r w:rsidRPr="00695013">
        <w:rPr>
          <w:rFonts w:ascii="Arial" w:hAnsi="Arial" w:cs="Arial"/>
        </w:rPr>
        <w:t xml:space="preserve">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000"/>
      </w:tblGrid>
      <w:tr w:rsidR="00695013" w:rsidRPr="00695013" w:rsidTr="00CD25CD">
        <w:trPr>
          <w:tblCellSpacing w:w="0" w:type="dxa"/>
          <w:jc w:val="center"/>
        </w:trPr>
        <w:tc>
          <w:tcPr>
            <w:tcW w:w="5000" w:type="pct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000"/>
            </w:tblGrid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695013" w:rsidRPr="00695013" w:rsidRDefault="00695013" w:rsidP="00CD25CD">
                  <w:pPr>
                    <w:jc w:val="center"/>
                    <w:rPr>
                      <w:rFonts w:ascii="Arial" w:hAnsi="Arial" w:cs="Arial"/>
                    </w:rPr>
                  </w:pPr>
                  <w:r w:rsidRPr="0069501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3790950" cy="161925"/>
                        <wp:effectExtent l="19050" t="0" r="0" b="0"/>
                        <wp:docPr id="3" name="Picture 3" descr="246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246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5013" w:rsidRPr="00695013" w:rsidRDefault="00695013" w:rsidP="00695013">
      <w:pPr>
        <w:pStyle w:val="NormalWeb"/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The other half of the </w:t>
      </w:r>
      <w:proofErr w:type="spellStart"/>
      <w:r w:rsidRPr="00695013">
        <w:rPr>
          <w:rFonts w:ascii="Arial" w:hAnsi="Arial" w:cs="Arial"/>
        </w:rPr>
        <w:t>phosphorylation</w:t>
      </w:r>
      <w:proofErr w:type="spellEnd"/>
      <w:r w:rsidRPr="00695013">
        <w:rPr>
          <w:rFonts w:ascii="Arial" w:hAnsi="Arial" w:cs="Arial"/>
        </w:rPr>
        <w:t xml:space="preserve"> reaction is the hydrolysis of ATP to yield ADP and inorganic phosphate (P</w:t>
      </w:r>
      <w:r w:rsidRPr="00695013">
        <w:rPr>
          <w:rFonts w:ascii="Arial" w:hAnsi="Arial" w:cs="Arial"/>
          <w:vertAlign w:val="subscript"/>
        </w:rPr>
        <w:t>i</w:t>
      </w:r>
      <w:r w:rsidRPr="00695013">
        <w:rPr>
          <w:rFonts w:ascii="Arial" w:hAnsi="Arial" w:cs="Arial"/>
        </w:rPr>
        <w:t xml:space="preserve">):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2370"/>
      </w:tblGrid>
      <w:tr w:rsidR="00695013" w:rsidRPr="00695013" w:rsidTr="00CD25CD">
        <w:trPr>
          <w:tblCellSpacing w:w="0" w:type="dxa"/>
          <w:jc w:val="center"/>
        </w:trPr>
        <w:tc>
          <w:tcPr>
            <w:tcW w:w="5000" w:type="pct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370"/>
            </w:tblGrid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695013" w:rsidRPr="00695013" w:rsidRDefault="00695013" w:rsidP="00CD25CD">
                  <w:pPr>
                    <w:jc w:val="center"/>
                    <w:rPr>
                      <w:rFonts w:ascii="Arial" w:hAnsi="Arial" w:cs="Arial"/>
                    </w:rPr>
                  </w:pPr>
                  <w:r w:rsidRPr="0069501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1476375" cy="133350"/>
                        <wp:effectExtent l="19050" t="0" r="9525" b="0"/>
                        <wp:docPr id="4" name="Picture 4" descr="246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246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5013" w:rsidRPr="00695013" w:rsidRDefault="00695013" w:rsidP="00695013">
      <w:pPr>
        <w:pStyle w:val="NormalWeb"/>
        <w:rPr>
          <w:rFonts w:ascii="Arial" w:hAnsi="Arial" w:cs="Arial"/>
        </w:rPr>
      </w:pPr>
      <w:proofErr w:type="gramStart"/>
      <w:r w:rsidRPr="00695013">
        <w:rPr>
          <w:rFonts w:ascii="Arial" w:hAnsi="Arial" w:cs="Arial"/>
        </w:rPr>
        <w:t>under</w:t>
      </w:r>
      <w:proofErr w:type="gramEnd"/>
      <w:r w:rsidRPr="00695013">
        <w:rPr>
          <w:rFonts w:ascii="Arial" w:hAnsi="Arial" w:cs="Arial"/>
        </w:rPr>
        <w:t xml:space="preserve"> standard conditions has ΔG° = -7.3 kcal/mole (-31 kJ/mole).</w:t>
      </w:r>
    </w:p>
    <w:p w:rsidR="00695013" w:rsidRPr="00695013" w:rsidRDefault="00695013" w:rsidP="00695013">
      <w:pPr>
        <w:pStyle w:val="NormalWeb"/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The standard free energy change of the reaction can be determined by adding the two free energies of reaction: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070"/>
      </w:tblGrid>
      <w:tr w:rsidR="00695013" w:rsidRPr="00695013" w:rsidTr="00CD25CD">
        <w:trPr>
          <w:tblCellSpacing w:w="0" w:type="dxa"/>
          <w:jc w:val="center"/>
        </w:trPr>
        <w:tc>
          <w:tcPr>
            <w:tcW w:w="5000" w:type="pct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070"/>
            </w:tblGrid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695013" w:rsidRPr="00695013" w:rsidRDefault="00695013" w:rsidP="00CD25CD">
                  <w:pPr>
                    <w:jc w:val="center"/>
                    <w:rPr>
                      <w:rFonts w:ascii="Arial" w:hAnsi="Arial" w:cs="Arial"/>
                    </w:rPr>
                  </w:pPr>
                  <w:r w:rsidRPr="0069501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3200400" cy="314325"/>
                        <wp:effectExtent l="19050" t="0" r="0" b="0"/>
                        <wp:docPr id="5" name="Picture 5" descr="246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246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5013" w:rsidRPr="00695013" w:rsidRDefault="00695013" w:rsidP="00695013">
      <w:pPr>
        <w:pStyle w:val="NormalWeb"/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Note that the reaction as written is </w:t>
      </w:r>
      <w:proofErr w:type="spellStart"/>
      <w:r w:rsidRPr="00695013">
        <w:rPr>
          <w:rFonts w:ascii="Arial" w:hAnsi="Arial" w:cs="Arial"/>
        </w:rPr>
        <w:t>unfavored</w:t>
      </w:r>
      <w:proofErr w:type="spellEnd"/>
      <w:r w:rsidRPr="00695013">
        <w:rPr>
          <w:rFonts w:ascii="Arial" w:hAnsi="Arial" w:cs="Arial"/>
        </w:rPr>
        <w:t xml:space="preserve">; its free energy change is positive. Another way of stating this is that the reaction is </w:t>
      </w:r>
      <w:proofErr w:type="spellStart"/>
      <w:r w:rsidRPr="00695013">
        <w:rPr>
          <w:rStyle w:val="Strong"/>
          <w:rFonts w:ascii="Arial" w:hAnsi="Arial" w:cs="Arial"/>
        </w:rPr>
        <w:t>endergonic</w:t>
      </w:r>
      <w:proofErr w:type="spellEnd"/>
      <w:r w:rsidRPr="00695013">
        <w:rPr>
          <w:rStyle w:val="Strong"/>
          <w:rFonts w:ascii="Arial" w:hAnsi="Arial" w:cs="Arial"/>
        </w:rPr>
        <w:t>,</w:t>
      </w:r>
      <w:r w:rsidRPr="00695013">
        <w:rPr>
          <w:rFonts w:ascii="Arial" w:hAnsi="Arial" w:cs="Arial"/>
        </w:rPr>
        <w:t xml:space="preserve"> that is, the reaction involves a gain of free energy. </w:t>
      </w:r>
    </w:p>
    <w:p w:rsidR="00695013" w:rsidRDefault="00695013" w:rsidP="00695013">
      <w:pPr>
        <w:pStyle w:val="NormalWeb"/>
        <w:rPr>
          <w:rFonts w:ascii="Arial" w:hAnsi="Arial" w:cs="Arial"/>
        </w:rPr>
      </w:pPr>
    </w:p>
    <w:p w:rsidR="00695013" w:rsidRPr="00695013" w:rsidRDefault="00695013" w:rsidP="00695013">
      <w:pPr>
        <w:pStyle w:val="NormalWeb"/>
        <w:rPr>
          <w:rFonts w:ascii="Arial" w:hAnsi="Arial" w:cs="Arial"/>
        </w:rPr>
      </w:pPr>
      <w:r w:rsidRPr="00695013">
        <w:rPr>
          <w:rFonts w:ascii="Arial" w:hAnsi="Arial" w:cs="Arial"/>
        </w:rPr>
        <w:lastRenderedPageBreak/>
        <w:t xml:space="preserve">For the </w:t>
      </w:r>
      <w:proofErr w:type="spellStart"/>
      <w:r w:rsidRPr="00695013">
        <w:rPr>
          <w:rStyle w:val="Strong"/>
          <w:rFonts w:ascii="Arial" w:hAnsi="Arial" w:cs="Arial"/>
        </w:rPr>
        <w:t>exergonic</w:t>
      </w:r>
      <w:proofErr w:type="spellEnd"/>
      <w:r w:rsidRPr="00695013">
        <w:rPr>
          <w:rFonts w:ascii="Arial" w:hAnsi="Arial" w:cs="Arial"/>
        </w:rPr>
        <w:t xml:space="preserve"> hydrolysis of ATP (the reaction involves a loss of free energy):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770"/>
      </w:tblGrid>
      <w:tr w:rsidR="00695013" w:rsidRPr="00695013" w:rsidTr="00CD25CD">
        <w:trPr>
          <w:tblCellSpacing w:w="0" w:type="dxa"/>
          <w:jc w:val="center"/>
        </w:trPr>
        <w:tc>
          <w:tcPr>
            <w:tcW w:w="5000" w:type="pct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4770"/>
            </w:tblGrid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695013" w:rsidRPr="00695013" w:rsidRDefault="00695013" w:rsidP="00CD25CD">
                  <w:pPr>
                    <w:jc w:val="center"/>
                    <w:rPr>
                      <w:rFonts w:ascii="Arial" w:hAnsi="Arial" w:cs="Arial"/>
                    </w:rPr>
                  </w:pPr>
                  <w:r w:rsidRPr="0069501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3000375" cy="123825"/>
                        <wp:effectExtent l="19050" t="0" r="9525" b="0"/>
                        <wp:docPr id="6" name="Picture 6" descr="246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46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03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5013" w:rsidRPr="00695013" w:rsidRDefault="00695013" w:rsidP="00695013">
      <w:pPr>
        <w:pStyle w:val="NormalWeb"/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The two reactions are summed: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580"/>
      </w:tblGrid>
      <w:tr w:rsidR="00695013" w:rsidRPr="00695013" w:rsidTr="00CD25CD">
        <w:trPr>
          <w:tblCellSpacing w:w="0" w:type="dxa"/>
          <w:jc w:val="center"/>
        </w:trPr>
        <w:tc>
          <w:tcPr>
            <w:tcW w:w="5000" w:type="pct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580"/>
            </w:tblGrid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695013" w:rsidRPr="00695013" w:rsidRDefault="00695013" w:rsidP="00CD25CD">
                  <w:pPr>
                    <w:jc w:val="center"/>
                    <w:rPr>
                      <w:rFonts w:ascii="Arial" w:hAnsi="Arial" w:cs="Arial"/>
                    </w:rPr>
                  </w:pPr>
                  <w:r w:rsidRPr="0069501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3524250" cy="409575"/>
                        <wp:effectExtent l="19050" t="0" r="0" b="0"/>
                        <wp:docPr id="7" name="Picture 7" descr="246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246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pStyle w:val="NormalWeb"/>
        <w:spacing w:after="240" w:afterAutospacing="0"/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This is a simple example of energetic </w:t>
      </w:r>
      <w:r w:rsidRPr="00695013">
        <w:rPr>
          <w:rStyle w:val="Strong"/>
          <w:rFonts w:ascii="Arial" w:hAnsi="Arial" w:cs="Arial"/>
        </w:rPr>
        <w:t>coupling,</w:t>
      </w:r>
      <w:r w:rsidRPr="00695013">
        <w:rPr>
          <w:rFonts w:ascii="Arial" w:hAnsi="Arial" w:cs="Arial"/>
        </w:rPr>
        <w:t xml:space="preserve"> where an unfavorable reaction is driven by a favorable one, as shown in Figure </w:t>
      </w:r>
      <w:hyperlink r:id="rId12" w:anchor="schmidt5630c03-fig-0001" w:history="1">
        <w:r w:rsidRPr="00695013">
          <w:rPr>
            <w:rStyle w:val="Hyperlink"/>
            <w:rFonts w:ascii="Arial" w:hAnsi="Arial" w:cs="Arial"/>
          </w:rPr>
          <w:t>1</w:t>
        </w:r>
      </w:hyperlink>
      <w:r w:rsidRPr="00695013">
        <w:rPr>
          <w:rFonts w:ascii="Arial" w:hAnsi="Arial" w:cs="Arial"/>
        </w:rPr>
        <w:t xml:space="preserve"> .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420"/>
      </w:tblGrid>
      <w:tr w:rsidR="00695013" w:rsidRPr="00695013" w:rsidTr="00CD25CD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695013" w:rsidRPr="00695013" w:rsidRDefault="00695013" w:rsidP="00CD25CD">
            <w:pPr>
              <w:rPr>
                <w:rFonts w:ascii="Arial" w:hAnsi="Arial" w:cs="Arial"/>
              </w:rPr>
            </w:pPr>
          </w:p>
        </w:tc>
      </w:tr>
      <w:tr w:rsidR="00695013" w:rsidRPr="00695013" w:rsidTr="00CD25CD">
        <w:trPr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420"/>
            </w:tblGrid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695013" w:rsidRPr="00695013" w:rsidRDefault="00695013" w:rsidP="00CD25CD">
                  <w:pPr>
                    <w:jc w:val="center"/>
                    <w:rPr>
                      <w:rFonts w:ascii="Arial" w:hAnsi="Arial" w:cs="Arial"/>
                    </w:rPr>
                  </w:pPr>
                  <w:r w:rsidRPr="0069501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4048125" cy="2543175"/>
                        <wp:effectExtent l="19050" t="0" r="9525" b="0"/>
                        <wp:docPr id="8" name="Picture 8" descr="246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246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8125" cy="2543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5013" w:rsidRPr="00695013" w:rsidTr="00CD25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695013" w:rsidRPr="00695013" w:rsidRDefault="00695013" w:rsidP="00CD25C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695013" w:rsidRPr="00695013" w:rsidRDefault="00695013" w:rsidP="00CD25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5013" w:rsidRPr="00695013" w:rsidRDefault="00695013" w:rsidP="00695013">
      <w:pPr>
        <w:pStyle w:val="NormalWeb"/>
        <w:rPr>
          <w:rFonts w:ascii="Arial" w:hAnsi="Arial" w:cs="Arial"/>
        </w:rPr>
      </w:pPr>
      <w:bookmarkStart w:id="0" w:name="schmidt5630c03-fig-0001"/>
      <w:r w:rsidRPr="00695013">
        <w:rPr>
          <w:rFonts w:ascii="Arial" w:hAnsi="Arial" w:cs="Arial"/>
        </w:rPr>
        <w:t xml:space="preserve">Coupling doesn't occur all by itself. In this example, if </w:t>
      </w:r>
      <w:proofErr w:type="gramStart"/>
      <w:r w:rsidRPr="00695013">
        <w:rPr>
          <w:rFonts w:ascii="Arial" w:hAnsi="Arial" w:cs="Arial"/>
        </w:rPr>
        <w:t>this experiment were</w:t>
      </w:r>
      <w:proofErr w:type="gramEnd"/>
      <w:r w:rsidRPr="00695013">
        <w:rPr>
          <w:rFonts w:ascii="Arial" w:hAnsi="Arial" w:cs="Arial"/>
        </w:rPr>
        <w:t xml:space="preserve"> set up so that the ATP would have to be hydrolyzed in one tube and the glucose </w:t>
      </w:r>
      <w:proofErr w:type="spellStart"/>
      <w:r w:rsidRPr="00695013">
        <w:rPr>
          <w:rFonts w:ascii="Arial" w:hAnsi="Arial" w:cs="Arial"/>
        </w:rPr>
        <w:t>phosphorylated</w:t>
      </w:r>
      <w:proofErr w:type="spellEnd"/>
      <w:r w:rsidRPr="00695013">
        <w:rPr>
          <w:rFonts w:ascii="Arial" w:hAnsi="Arial" w:cs="Arial"/>
        </w:rPr>
        <w:t xml:space="preserve"> in another, no coupling would be possible. Coupling can occur only when the partial reactions are part of a larger system. In this example, coupling occurs because both partial reactions are carried out by the enzyme </w:t>
      </w:r>
      <w:proofErr w:type="spellStart"/>
      <w:r w:rsidRPr="00695013">
        <w:rPr>
          <w:rFonts w:ascii="Arial" w:hAnsi="Arial" w:cs="Arial"/>
        </w:rPr>
        <w:t>hexokinase</w:t>
      </w:r>
      <w:proofErr w:type="spellEnd"/>
      <w:r w:rsidRPr="00695013">
        <w:rPr>
          <w:rFonts w:ascii="Arial" w:hAnsi="Arial" w:cs="Arial"/>
        </w:rPr>
        <w:t>. In other cases, coupling can involve membrane transport, transfer of electrons by a common intermediate, or other processes. Another way of stating this principle is that coupled reactions must have some component in common.</w:t>
      </w:r>
    </w:p>
    <w:bookmarkEnd w:id="0"/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>The “orderliness” of your body is not favored by free energy.  Explain (in terms of free energy and disorder) why you need to perform digestion?</w:t>
      </w: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 w:rsidP="00695013">
      <w:pPr>
        <w:rPr>
          <w:rFonts w:ascii="Arial" w:hAnsi="Arial" w:cs="Arial"/>
        </w:rPr>
      </w:pPr>
    </w:p>
    <w:p w:rsidR="00695013" w:rsidRPr="00695013" w:rsidRDefault="00695013">
      <w:pPr>
        <w:rPr>
          <w:rFonts w:ascii="Arial" w:hAnsi="Arial" w:cs="Arial"/>
        </w:rPr>
      </w:pPr>
      <w:r w:rsidRPr="00695013">
        <w:rPr>
          <w:rFonts w:ascii="Arial" w:hAnsi="Arial" w:cs="Arial"/>
        </w:rPr>
        <w:t xml:space="preserve">Why does decomposition of a dead animal happen in terms of energy?  What would happen if we increase temperature?  Why do we freeze food? </w:t>
      </w:r>
    </w:p>
    <w:sectPr w:rsidR="00695013" w:rsidRPr="00695013" w:rsidSect="006950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95013"/>
    <w:rsid w:val="002068C0"/>
    <w:rsid w:val="00695013"/>
    <w:rsid w:val="00ED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695013"/>
    <w:rPr>
      <w:b/>
      <w:bCs/>
    </w:rPr>
  </w:style>
  <w:style w:type="paragraph" w:styleId="NormalWeb">
    <w:name w:val="Normal (Web)"/>
    <w:basedOn w:val="Normal"/>
    <w:rsid w:val="00695013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6950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0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0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://www.cliffsnotes.com/study_guide/FreeEnergy-Calculations.topicArticleId-24998,articleId-2494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685</Words>
  <Characters>3911</Characters>
  <Application>Microsoft Office Word</Application>
  <DocSecurity>0</DocSecurity>
  <Lines>32</Lines>
  <Paragraphs>9</Paragraphs>
  <ScaleCrop>false</ScaleCrop>
  <Company>Toshiba</Company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2013-10-19T20:01:00Z</dcterms:created>
  <dcterms:modified xsi:type="dcterms:W3CDTF">2013-10-19T20:11:00Z</dcterms:modified>
</cp:coreProperties>
</file>